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5CD" w:rsidRDefault="000255CD"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Pr="00337D6F" w:rsidRDefault="00FD360A" w:rsidP="00FD360A">
      <w:pPr>
        <w:spacing w:after="0" w:line="480" w:lineRule="auto"/>
        <w:jc w:val="both"/>
        <w:rPr>
          <w:rFonts w:ascii="Times New Roman" w:hAnsi="Times New Roman" w:cs="Times New Roman"/>
          <w:sz w:val="24"/>
          <w:szCs w:val="24"/>
        </w:rPr>
      </w:pPr>
    </w:p>
    <w:p w:rsidR="00FD360A" w:rsidRPr="00337D6F" w:rsidRDefault="00FD360A" w:rsidP="00FD36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Integration and Metrics</w:t>
      </w:r>
    </w:p>
    <w:p w:rsidR="00FD360A" w:rsidRPr="00337D6F" w:rsidRDefault="00FD360A" w:rsidP="00FD36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Chelsea Tussey</w:t>
      </w:r>
    </w:p>
    <w:p w:rsidR="00FD360A" w:rsidRPr="00337D6F" w:rsidRDefault="00FD360A" w:rsidP="00FD36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FD360A" w:rsidRDefault="00FD360A" w:rsidP="00FD360A">
      <w:pPr>
        <w:spacing w:line="480" w:lineRule="auto"/>
        <w:rPr>
          <w:rFonts w:ascii="Times New Roman" w:hAnsi="Times New Roman" w:cs="Times New Roman"/>
          <w:sz w:val="24"/>
          <w:szCs w:val="24"/>
        </w:rPr>
      </w:pPr>
    </w:p>
    <w:p w:rsidR="000255CD"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lastRenderedPageBreak/>
        <w:t xml:space="preserve">8-1: </w:t>
      </w:r>
      <w:r w:rsidR="000255CD" w:rsidRPr="00637502">
        <w:rPr>
          <w:rFonts w:ascii="Times New Roman" w:hAnsi="Times New Roman" w:cs="Times New Roman"/>
          <w:b/>
          <w:sz w:val="24"/>
          <w:szCs w:val="24"/>
        </w:rPr>
        <w:t>Discussion integration</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Summarize the ways through which sales and operations planning can be integrated. Then extend your findings to additional supply chain management processes that you feel could be better integrated.</w:t>
      </w:r>
    </w:p>
    <w:p w:rsidR="00FD360A" w:rsidRPr="00FD360A" w:rsidRDefault="00FD360A" w:rsidP="00637502">
      <w:pPr>
        <w:spacing w:line="480" w:lineRule="auto"/>
        <w:jc w:val="both"/>
        <w:rPr>
          <w:rFonts w:ascii="Times New Roman" w:hAnsi="Times New Roman" w:cs="Times New Roman"/>
          <w:sz w:val="24"/>
          <w:szCs w:val="24"/>
        </w:rPr>
      </w:pPr>
      <w:r w:rsidRPr="00FD360A">
        <w:rPr>
          <w:rFonts w:ascii="Times New Roman" w:hAnsi="Times New Roman" w:cs="Times New Roman"/>
          <w:sz w:val="24"/>
          <w:szCs w:val="24"/>
        </w:rPr>
        <w:t xml:space="preserve"> </w:t>
      </w:r>
      <w:r w:rsidR="00637502">
        <w:rPr>
          <w:rFonts w:ascii="Times New Roman" w:hAnsi="Times New Roman" w:cs="Times New Roman"/>
          <w:sz w:val="24"/>
          <w:szCs w:val="24"/>
        </w:rPr>
        <w:tab/>
      </w:r>
      <w:r w:rsidRPr="00FD360A">
        <w:rPr>
          <w:rFonts w:ascii="Times New Roman" w:hAnsi="Times New Roman" w:cs="Times New Roman"/>
          <w:sz w:val="24"/>
          <w:szCs w:val="24"/>
        </w:rPr>
        <w:t xml:space="preserve">The integration of sales and operations planning is an important factor of the supply chain and operations management. The integrated processes enable organizations to bring together various planning elements into a single process. The integration process is focused on balancing the different objectives in the best way possible to achieve the best result. </w:t>
      </w:r>
    </w:p>
    <w:p w:rsidR="00FD360A" w:rsidRPr="00FD360A" w:rsidRDefault="00FD360A" w:rsidP="00637502">
      <w:pPr>
        <w:spacing w:line="480" w:lineRule="auto"/>
        <w:ind w:firstLine="720"/>
        <w:jc w:val="both"/>
        <w:rPr>
          <w:rFonts w:ascii="Times New Roman" w:hAnsi="Times New Roman" w:cs="Times New Roman"/>
          <w:sz w:val="24"/>
          <w:szCs w:val="24"/>
        </w:rPr>
      </w:pPr>
      <w:r w:rsidRPr="00FD360A">
        <w:rPr>
          <w:rFonts w:ascii="Times New Roman" w:hAnsi="Times New Roman" w:cs="Times New Roman"/>
          <w:sz w:val="24"/>
          <w:szCs w:val="24"/>
        </w:rPr>
        <w:t xml:space="preserve">Sales and operations planning uses two approaches; top-down and bottom-up planning.  The top-down approach involves a single sales forecast that facilitates the planning process. The sales forecast includes a combination of products and services that use the same resources. The bottom-up planning approach is useful to companies that have unstable manufacturing schedule, and the type of finished goods varies from month to month. </w:t>
      </w:r>
    </w:p>
    <w:p w:rsidR="00FD360A" w:rsidRPr="00FD360A" w:rsidRDefault="00FD360A" w:rsidP="00637502">
      <w:pPr>
        <w:spacing w:line="480" w:lineRule="auto"/>
        <w:ind w:firstLine="720"/>
        <w:jc w:val="both"/>
        <w:rPr>
          <w:rFonts w:ascii="Times New Roman" w:hAnsi="Times New Roman" w:cs="Times New Roman"/>
          <w:sz w:val="24"/>
          <w:szCs w:val="24"/>
        </w:rPr>
      </w:pPr>
      <w:r w:rsidRPr="00FD360A">
        <w:rPr>
          <w:rFonts w:ascii="Times New Roman" w:hAnsi="Times New Roman" w:cs="Times New Roman"/>
          <w:sz w:val="24"/>
          <w:szCs w:val="24"/>
        </w:rPr>
        <w:t>Some of the ways in which sales and operations could be integrated are through inventory planning, demand planning, customer lead time plan, production plan, financial plan, and replenishment planning.</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Which two or more processes did you integrate. Why and how?</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 xml:space="preserve"> </w:t>
      </w:r>
      <w:r w:rsidR="00637502" w:rsidRPr="00637502">
        <w:rPr>
          <w:rFonts w:ascii="Times New Roman" w:hAnsi="Times New Roman" w:cs="Times New Roman"/>
          <w:b/>
          <w:sz w:val="24"/>
          <w:szCs w:val="24"/>
        </w:rPr>
        <w:t>D</w:t>
      </w:r>
      <w:r w:rsidRPr="00637502">
        <w:rPr>
          <w:rFonts w:ascii="Times New Roman" w:hAnsi="Times New Roman" w:cs="Times New Roman"/>
          <w:b/>
          <w:sz w:val="24"/>
          <w:szCs w:val="24"/>
        </w:rPr>
        <w:t>emand and supply Integration (DSI)</w:t>
      </w:r>
    </w:p>
    <w:p w:rsidR="00693430" w:rsidRPr="00FD360A" w:rsidRDefault="00FD360A" w:rsidP="00637502">
      <w:pPr>
        <w:spacing w:line="480" w:lineRule="auto"/>
        <w:ind w:firstLine="720"/>
        <w:jc w:val="both"/>
        <w:rPr>
          <w:rFonts w:ascii="Times New Roman" w:hAnsi="Times New Roman" w:cs="Times New Roman"/>
          <w:sz w:val="24"/>
          <w:szCs w:val="24"/>
        </w:rPr>
      </w:pPr>
      <w:r w:rsidRPr="00FD360A">
        <w:rPr>
          <w:rFonts w:ascii="Times New Roman" w:hAnsi="Times New Roman" w:cs="Times New Roman"/>
          <w:sz w:val="24"/>
          <w:szCs w:val="24"/>
        </w:rPr>
        <w:t xml:space="preserve">This involves the process designed to match demand information with supply capability and financial objectives.  This system allows companies to serve their end users better by empowering each component of the supply chain to develop appropriate solutions to problems that </w:t>
      </w:r>
      <w:r w:rsidRPr="00FD360A">
        <w:rPr>
          <w:rFonts w:ascii="Times New Roman" w:hAnsi="Times New Roman" w:cs="Times New Roman"/>
          <w:sz w:val="24"/>
          <w:szCs w:val="24"/>
        </w:rPr>
        <w:lastRenderedPageBreak/>
        <w:t>as they arise (Esper et al., 2010). This system facilitates systemic information sharing. The DSI provides a procedure useful in synthesizing the operational plan of the company with the demand plan (Stank &amp; Mentzer, 2007). The operational plan includes procurement, finance, distribution, manufacturing, and human resource plans.  The demand plan looks at what needs to be marketed and sold and when based on the supply capabilities. The demand plans may involve shifting demand from low margin items to the high margin items.</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8-2: Short paper: Metrics</w:t>
      </w:r>
    </w:p>
    <w:p w:rsidR="00FD360A" w:rsidRPr="00FD360A" w:rsidRDefault="00FD360A" w:rsidP="00637502">
      <w:pPr>
        <w:spacing w:line="480" w:lineRule="auto"/>
        <w:jc w:val="both"/>
        <w:rPr>
          <w:rFonts w:ascii="Times New Roman" w:hAnsi="Times New Roman" w:cs="Times New Roman"/>
          <w:sz w:val="24"/>
          <w:szCs w:val="24"/>
        </w:rPr>
      </w:pPr>
      <w:r w:rsidRPr="00FD360A">
        <w:rPr>
          <w:rFonts w:ascii="Times New Roman" w:hAnsi="Times New Roman" w:cs="Times New Roman"/>
          <w:sz w:val="24"/>
          <w:szCs w:val="24"/>
        </w:rPr>
        <w:t>The most important metrics for operations managers are customer satisfaction, compliance, financial performance, and internal working environment.</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Customer satisfaction and retention</w:t>
      </w:r>
    </w:p>
    <w:p w:rsidR="00FD360A" w:rsidRPr="00FD360A" w:rsidRDefault="00FD360A" w:rsidP="00637502">
      <w:pPr>
        <w:spacing w:line="480" w:lineRule="auto"/>
        <w:ind w:firstLine="720"/>
        <w:jc w:val="both"/>
        <w:rPr>
          <w:rFonts w:ascii="Times New Roman" w:hAnsi="Times New Roman" w:cs="Times New Roman"/>
          <w:sz w:val="24"/>
          <w:szCs w:val="24"/>
        </w:rPr>
      </w:pPr>
      <w:r w:rsidRPr="00FD360A">
        <w:rPr>
          <w:rFonts w:ascii="Times New Roman" w:hAnsi="Times New Roman" w:cs="Times New Roman"/>
          <w:sz w:val="24"/>
          <w:szCs w:val="24"/>
        </w:rPr>
        <w:t xml:space="preserve">This metric represents how well customers are served.  It reflects the effectiveness of the company’s operations and provides crucial information about the health of the business and management performance.  A positive customer satisfaction metric for a business includes a significant increase in the number of customers. Also, other customer metrics that can indicate positive customer satisfaction include customer retention and positive results from customer surveys (Mishra, 2015). Customers play an important role in influencing business sales revenue. If customers are satisfied with the company products and services, then they will buy more and remain loyal hence income received from the customers' increases therefore if proper management of customers is </w:t>
      </w:r>
      <w:r w:rsidR="00637502" w:rsidRPr="00FD360A">
        <w:rPr>
          <w:rFonts w:ascii="Times New Roman" w:hAnsi="Times New Roman" w:cs="Times New Roman"/>
          <w:sz w:val="24"/>
          <w:szCs w:val="24"/>
        </w:rPr>
        <w:t>done, the</w:t>
      </w:r>
      <w:r w:rsidRPr="00FD360A">
        <w:rPr>
          <w:rFonts w:ascii="Times New Roman" w:hAnsi="Times New Roman" w:cs="Times New Roman"/>
          <w:sz w:val="24"/>
          <w:szCs w:val="24"/>
        </w:rPr>
        <w:t xml:space="preserve"> overall financial performance of the company improves. </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Financial metric</w:t>
      </w:r>
    </w:p>
    <w:p w:rsidR="00FD360A" w:rsidRPr="00FD360A" w:rsidRDefault="00FD360A" w:rsidP="00637502">
      <w:pPr>
        <w:spacing w:line="480" w:lineRule="auto"/>
        <w:ind w:firstLine="720"/>
        <w:jc w:val="both"/>
        <w:rPr>
          <w:rFonts w:ascii="Times New Roman" w:hAnsi="Times New Roman" w:cs="Times New Roman"/>
          <w:sz w:val="24"/>
          <w:szCs w:val="24"/>
        </w:rPr>
      </w:pPr>
      <w:r w:rsidRPr="00FD360A">
        <w:rPr>
          <w:rFonts w:ascii="Times New Roman" w:hAnsi="Times New Roman" w:cs="Times New Roman"/>
          <w:sz w:val="24"/>
          <w:szCs w:val="24"/>
        </w:rPr>
        <w:lastRenderedPageBreak/>
        <w:t xml:space="preserve">This metric is important in evaluating the performance of the management through the performance of the financial numbers which include costs, sales, and profits. One of the most important metric to keep an eye on is the year-to-year sales as it shows how the performance of sales compares to the previous performance. In case the sales are decreasing, then a manager will be prompted to investigate the reason for the decline. While the sales metric is important, it is also essential to check how profits compare with the previous periods.  Even though sales may be declining, the profits can be kept high so long as the costs are kept down (Mishra, 2015). The most crucial cost metrics include overhead costs such as labor, fees, rent, taxes, and supplies. </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Compliance</w:t>
      </w:r>
    </w:p>
    <w:p w:rsidR="00FD360A" w:rsidRPr="00FD360A" w:rsidRDefault="00FD360A" w:rsidP="00637502">
      <w:pPr>
        <w:spacing w:line="480" w:lineRule="auto"/>
        <w:ind w:firstLine="720"/>
        <w:jc w:val="both"/>
        <w:rPr>
          <w:rFonts w:ascii="Times New Roman" w:hAnsi="Times New Roman" w:cs="Times New Roman"/>
          <w:sz w:val="24"/>
          <w:szCs w:val="24"/>
        </w:rPr>
      </w:pPr>
      <w:r w:rsidRPr="00FD360A">
        <w:rPr>
          <w:rFonts w:ascii="Times New Roman" w:hAnsi="Times New Roman" w:cs="Times New Roman"/>
          <w:sz w:val="24"/>
          <w:szCs w:val="24"/>
        </w:rPr>
        <w:t xml:space="preserve">This metric is essential in the evaluation of business performance. Effective compliance must demonstrate legal compliance in environmental rules, financial reporting and employee regulations. If a business fails to comply with all the required legal compliances, it may be imposed with sanctions. These sanctions have a financial implication to a company.  The compliance metric shows how many times a company was forced to respond to official sanctions and how fast and effectively the company fulfilled the sanctions requirements. </w:t>
      </w:r>
    </w:p>
    <w:p w:rsidR="00FD360A" w:rsidRPr="00637502" w:rsidRDefault="00FD360A" w:rsidP="00637502">
      <w:pPr>
        <w:spacing w:line="480" w:lineRule="auto"/>
        <w:jc w:val="both"/>
        <w:rPr>
          <w:rFonts w:ascii="Times New Roman" w:hAnsi="Times New Roman" w:cs="Times New Roman"/>
          <w:b/>
          <w:sz w:val="24"/>
          <w:szCs w:val="24"/>
        </w:rPr>
      </w:pPr>
      <w:r w:rsidRPr="00637502">
        <w:rPr>
          <w:rFonts w:ascii="Times New Roman" w:hAnsi="Times New Roman" w:cs="Times New Roman"/>
          <w:b/>
          <w:sz w:val="24"/>
          <w:szCs w:val="24"/>
        </w:rPr>
        <w:t>Employee satisfaction</w:t>
      </w:r>
    </w:p>
    <w:p w:rsidR="00FD360A" w:rsidRPr="00FD360A" w:rsidRDefault="00FD360A" w:rsidP="00637502">
      <w:pPr>
        <w:spacing w:line="480" w:lineRule="auto"/>
        <w:ind w:firstLine="720"/>
        <w:jc w:val="both"/>
        <w:rPr>
          <w:rFonts w:ascii="Times New Roman" w:hAnsi="Times New Roman" w:cs="Times New Roman"/>
          <w:sz w:val="24"/>
          <w:szCs w:val="24"/>
        </w:rPr>
      </w:pPr>
      <w:r w:rsidRPr="00FD360A">
        <w:rPr>
          <w:rFonts w:ascii="Times New Roman" w:hAnsi="Times New Roman" w:cs="Times New Roman"/>
          <w:sz w:val="24"/>
          <w:szCs w:val="24"/>
        </w:rPr>
        <w:t xml:space="preserve">Operations managers must ensure these metrics are observed; low employee cases, high employee retention and above average employee productivity. If these metrics are not managed effectively, then employee strikes and employee turnover will have financial implications since it will cost the company resources and lost skills.  This metric provides guidance on the best ways of improving performance by putting more emphasis on the key areas that matter the most to </w:t>
      </w:r>
      <w:r w:rsidRPr="00FD360A">
        <w:rPr>
          <w:rFonts w:ascii="Times New Roman" w:hAnsi="Times New Roman" w:cs="Times New Roman"/>
          <w:sz w:val="24"/>
          <w:szCs w:val="24"/>
        </w:rPr>
        <w:lastRenderedPageBreak/>
        <w:t>employees. One smart way of measuring the metric is using employee satisfaction surveys (Mishra, 2015).</w:t>
      </w:r>
    </w:p>
    <w:p w:rsidR="00637502" w:rsidRDefault="00637502" w:rsidP="00637502">
      <w:pPr>
        <w:spacing w:line="480" w:lineRule="auto"/>
        <w:jc w:val="both"/>
        <w:rPr>
          <w:rFonts w:ascii="Times New Roman" w:hAnsi="Times New Roman" w:cs="Times New Roman"/>
          <w:sz w:val="24"/>
          <w:szCs w:val="24"/>
        </w:rPr>
      </w:pPr>
      <w:bookmarkStart w:id="0" w:name="_GoBack"/>
      <w:bookmarkEnd w:id="0"/>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637502" w:rsidRDefault="00637502" w:rsidP="00FD360A">
      <w:pPr>
        <w:spacing w:line="480" w:lineRule="auto"/>
        <w:rPr>
          <w:rFonts w:ascii="Times New Roman" w:hAnsi="Times New Roman" w:cs="Times New Roman"/>
          <w:sz w:val="24"/>
          <w:szCs w:val="24"/>
        </w:rPr>
      </w:pPr>
    </w:p>
    <w:p w:rsidR="00FD360A" w:rsidRPr="00FD360A" w:rsidRDefault="00FD360A" w:rsidP="00637502">
      <w:pPr>
        <w:spacing w:line="480" w:lineRule="auto"/>
        <w:jc w:val="center"/>
        <w:rPr>
          <w:rFonts w:ascii="Times New Roman" w:hAnsi="Times New Roman" w:cs="Times New Roman"/>
          <w:sz w:val="24"/>
          <w:szCs w:val="24"/>
        </w:rPr>
      </w:pPr>
      <w:r w:rsidRPr="00FD360A">
        <w:rPr>
          <w:rFonts w:ascii="Times New Roman" w:hAnsi="Times New Roman" w:cs="Times New Roman"/>
          <w:sz w:val="24"/>
          <w:szCs w:val="24"/>
        </w:rPr>
        <w:lastRenderedPageBreak/>
        <w:t>References</w:t>
      </w:r>
    </w:p>
    <w:p w:rsidR="00637502" w:rsidRDefault="00FD360A" w:rsidP="00FD360A">
      <w:pPr>
        <w:spacing w:line="480" w:lineRule="auto"/>
        <w:rPr>
          <w:rFonts w:ascii="Times New Roman" w:hAnsi="Times New Roman" w:cs="Times New Roman"/>
          <w:color w:val="222222"/>
          <w:sz w:val="24"/>
          <w:szCs w:val="24"/>
          <w:shd w:val="clear" w:color="auto" w:fill="FFFFFF"/>
        </w:rPr>
      </w:pPr>
      <w:r w:rsidRPr="00FD360A">
        <w:rPr>
          <w:rFonts w:ascii="Times New Roman" w:hAnsi="Times New Roman" w:cs="Times New Roman"/>
          <w:color w:val="222222"/>
          <w:sz w:val="24"/>
          <w:szCs w:val="24"/>
          <w:shd w:val="clear" w:color="auto" w:fill="FFFFFF"/>
        </w:rPr>
        <w:t xml:space="preserve">Esper, T. L., Ellinger, A. E., Stank, T. P., Flint, D. J., &amp; Moon, M. (2010). Demand and supply </w:t>
      </w:r>
    </w:p>
    <w:p w:rsidR="00FD360A" w:rsidRPr="00FD360A" w:rsidRDefault="00FD360A" w:rsidP="00637502">
      <w:pPr>
        <w:spacing w:line="480" w:lineRule="auto"/>
        <w:ind w:left="720"/>
        <w:rPr>
          <w:rFonts w:ascii="Times New Roman" w:hAnsi="Times New Roman" w:cs="Times New Roman"/>
          <w:sz w:val="24"/>
          <w:szCs w:val="24"/>
        </w:rPr>
      </w:pPr>
      <w:r w:rsidRPr="00FD360A">
        <w:rPr>
          <w:rFonts w:ascii="Times New Roman" w:hAnsi="Times New Roman" w:cs="Times New Roman"/>
          <w:color w:val="222222"/>
          <w:sz w:val="24"/>
          <w:szCs w:val="24"/>
          <w:shd w:val="clear" w:color="auto" w:fill="FFFFFF"/>
        </w:rPr>
        <w:t>integration: a conceptual framework of value creation through knowledge management. </w:t>
      </w:r>
      <w:r w:rsidRPr="00FD360A">
        <w:rPr>
          <w:rFonts w:ascii="Times New Roman" w:hAnsi="Times New Roman" w:cs="Times New Roman"/>
          <w:i/>
          <w:iCs/>
          <w:color w:val="222222"/>
          <w:sz w:val="24"/>
          <w:szCs w:val="24"/>
          <w:shd w:val="clear" w:color="auto" w:fill="FFFFFF"/>
        </w:rPr>
        <w:t>Journal of the Academy of marketing Science</w:t>
      </w:r>
      <w:r w:rsidRPr="00FD360A">
        <w:rPr>
          <w:rFonts w:ascii="Times New Roman" w:hAnsi="Times New Roman" w:cs="Times New Roman"/>
          <w:color w:val="222222"/>
          <w:sz w:val="24"/>
          <w:szCs w:val="24"/>
          <w:shd w:val="clear" w:color="auto" w:fill="FFFFFF"/>
        </w:rPr>
        <w:t>, </w:t>
      </w:r>
      <w:r w:rsidRPr="00FD360A">
        <w:rPr>
          <w:rFonts w:ascii="Times New Roman" w:hAnsi="Times New Roman" w:cs="Times New Roman"/>
          <w:i/>
          <w:iCs/>
          <w:color w:val="222222"/>
          <w:sz w:val="24"/>
          <w:szCs w:val="24"/>
          <w:shd w:val="clear" w:color="auto" w:fill="FFFFFF"/>
        </w:rPr>
        <w:t>38</w:t>
      </w:r>
      <w:r w:rsidRPr="00FD360A">
        <w:rPr>
          <w:rFonts w:ascii="Times New Roman" w:hAnsi="Times New Roman" w:cs="Times New Roman"/>
          <w:color w:val="222222"/>
          <w:sz w:val="24"/>
          <w:szCs w:val="24"/>
          <w:shd w:val="clear" w:color="auto" w:fill="FFFFFF"/>
        </w:rPr>
        <w:t>(1), 5-18.</w:t>
      </w:r>
    </w:p>
    <w:p w:rsidR="00FD360A" w:rsidRPr="00FD360A" w:rsidRDefault="00FD360A" w:rsidP="00FD360A">
      <w:pPr>
        <w:pStyle w:val="Heading1"/>
        <w:spacing w:before="0" w:line="480" w:lineRule="auto"/>
        <w:textAlignment w:val="baseline"/>
        <w:rPr>
          <w:rFonts w:ascii="Times New Roman" w:eastAsia="Times New Roman" w:hAnsi="Times New Roman" w:cs="Times New Roman"/>
          <w:b w:val="0"/>
          <w:bCs w:val="0"/>
          <w:color w:val="000000"/>
          <w:sz w:val="24"/>
          <w:szCs w:val="24"/>
        </w:rPr>
      </w:pPr>
      <w:r w:rsidRPr="00FD360A">
        <w:rPr>
          <w:rFonts w:ascii="Times New Roman" w:eastAsia="Times New Roman" w:hAnsi="Times New Roman" w:cs="Times New Roman"/>
          <w:b w:val="0"/>
          <w:bCs w:val="0"/>
          <w:color w:val="000000"/>
          <w:sz w:val="24"/>
          <w:szCs w:val="24"/>
        </w:rPr>
        <w:t>Mishra, S. (2015). The Performance Metrics Series - 5 Metrics for Operational Excellence</w:t>
      </w:r>
    </w:p>
    <w:p w:rsidR="00FD360A" w:rsidRPr="00FD360A" w:rsidRDefault="00637502" w:rsidP="00637502">
      <w:pPr>
        <w:spacing w:line="480" w:lineRule="auto"/>
        <w:ind w:left="720"/>
        <w:rPr>
          <w:rFonts w:ascii="Times New Roman" w:hAnsi="Times New Roman" w:cs="Times New Roman"/>
          <w:sz w:val="24"/>
          <w:szCs w:val="24"/>
        </w:rPr>
      </w:pPr>
      <w:hyperlink r:id="rId7" w:history="1">
        <w:r w:rsidRPr="005528E9">
          <w:rPr>
            <w:rStyle w:val="Hyperlink"/>
            <w:rFonts w:ascii="Times New Roman" w:hAnsi="Times New Roman" w:cs="Times New Roman"/>
            <w:sz w:val="24"/>
            <w:szCs w:val="24"/>
          </w:rPr>
          <w:t>https://www.linkedin.com/pulse/performance-metrics-series-5-operational-excellence-suchitra-mishra</w:t>
        </w:r>
      </w:hyperlink>
    </w:p>
    <w:p w:rsidR="00637502" w:rsidRDefault="00FD360A" w:rsidP="00FD360A">
      <w:pPr>
        <w:spacing w:line="480" w:lineRule="auto"/>
        <w:rPr>
          <w:rFonts w:ascii="Times New Roman" w:hAnsi="Times New Roman" w:cs="Times New Roman"/>
          <w:color w:val="222222"/>
          <w:sz w:val="24"/>
          <w:szCs w:val="24"/>
          <w:shd w:val="clear" w:color="auto" w:fill="FFFFFF"/>
        </w:rPr>
      </w:pPr>
      <w:r w:rsidRPr="00FD360A">
        <w:rPr>
          <w:rFonts w:ascii="Times New Roman" w:hAnsi="Times New Roman" w:cs="Times New Roman"/>
          <w:color w:val="222222"/>
          <w:sz w:val="24"/>
          <w:szCs w:val="24"/>
          <w:shd w:val="clear" w:color="auto" w:fill="FFFFFF"/>
        </w:rPr>
        <w:t xml:space="preserve">Stank, T., &amp; Mentzer, J. (2007). Demand and supply integration: a key to improved firm </w:t>
      </w:r>
    </w:p>
    <w:p w:rsidR="00FD360A" w:rsidRPr="00FD360A" w:rsidRDefault="00FD360A" w:rsidP="00637502">
      <w:pPr>
        <w:spacing w:line="480" w:lineRule="auto"/>
        <w:ind w:firstLine="720"/>
        <w:rPr>
          <w:rFonts w:ascii="Times New Roman" w:hAnsi="Times New Roman" w:cs="Times New Roman"/>
          <w:color w:val="222222"/>
          <w:sz w:val="24"/>
          <w:szCs w:val="24"/>
          <w:shd w:val="clear" w:color="auto" w:fill="FFFFFF"/>
        </w:rPr>
      </w:pPr>
      <w:r w:rsidRPr="00FD360A">
        <w:rPr>
          <w:rFonts w:ascii="Times New Roman" w:hAnsi="Times New Roman" w:cs="Times New Roman"/>
          <w:color w:val="222222"/>
          <w:sz w:val="24"/>
          <w:szCs w:val="24"/>
          <w:shd w:val="clear" w:color="auto" w:fill="FFFFFF"/>
        </w:rPr>
        <w:t>performance. </w:t>
      </w:r>
      <w:r w:rsidRPr="00FD360A">
        <w:rPr>
          <w:rFonts w:ascii="Times New Roman" w:hAnsi="Times New Roman" w:cs="Times New Roman"/>
          <w:i/>
          <w:iCs/>
          <w:color w:val="222222"/>
          <w:sz w:val="24"/>
          <w:szCs w:val="24"/>
          <w:shd w:val="clear" w:color="auto" w:fill="FFFFFF"/>
        </w:rPr>
        <w:t>Industry Week Value Chain eNewsletter</w:t>
      </w:r>
      <w:r w:rsidRPr="00FD360A">
        <w:rPr>
          <w:rFonts w:ascii="Times New Roman" w:hAnsi="Times New Roman" w:cs="Times New Roman"/>
          <w:color w:val="222222"/>
          <w:sz w:val="24"/>
          <w:szCs w:val="24"/>
          <w:shd w:val="clear" w:color="auto" w:fill="FFFFFF"/>
        </w:rPr>
        <w:t>, </w:t>
      </w:r>
      <w:r w:rsidRPr="00FD360A">
        <w:rPr>
          <w:rFonts w:ascii="Times New Roman" w:hAnsi="Times New Roman" w:cs="Times New Roman"/>
          <w:i/>
          <w:iCs/>
          <w:color w:val="222222"/>
          <w:sz w:val="24"/>
          <w:szCs w:val="24"/>
          <w:shd w:val="clear" w:color="auto" w:fill="FFFFFF"/>
        </w:rPr>
        <w:t>17</w:t>
      </w:r>
      <w:r w:rsidRPr="00FD360A">
        <w:rPr>
          <w:rFonts w:ascii="Times New Roman" w:hAnsi="Times New Roman" w:cs="Times New Roman"/>
          <w:color w:val="222222"/>
          <w:sz w:val="24"/>
          <w:szCs w:val="24"/>
          <w:shd w:val="clear" w:color="auto" w:fill="FFFFFF"/>
        </w:rPr>
        <w:t>.</w:t>
      </w:r>
    </w:p>
    <w:p w:rsidR="00FD360A" w:rsidRPr="00FD360A" w:rsidRDefault="00FD360A" w:rsidP="00FD360A">
      <w:pPr>
        <w:spacing w:line="480" w:lineRule="auto"/>
        <w:rPr>
          <w:rFonts w:ascii="Times New Roman" w:hAnsi="Times New Roman" w:cs="Times New Roman"/>
          <w:color w:val="222222"/>
          <w:sz w:val="24"/>
          <w:szCs w:val="24"/>
          <w:shd w:val="clear" w:color="auto" w:fill="FFFFFF"/>
        </w:rPr>
      </w:pPr>
    </w:p>
    <w:sectPr w:rsidR="00FD360A" w:rsidRPr="00FD360A" w:rsidSect="00FD36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5EC" w:rsidRDefault="000425EC" w:rsidP="00FD360A">
      <w:pPr>
        <w:spacing w:after="0" w:line="240" w:lineRule="auto"/>
      </w:pPr>
      <w:r>
        <w:separator/>
      </w:r>
    </w:p>
  </w:endnote>
  <w:endnote w:type="continuationSeparator" w:id="0">
    <w:p w:rsidR="000425EC" w:rsidRDefault="000425EC" w:rsidP="00FD3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5EC" w:rsidRDefault="000425EC" w:rsidP="00FD360A">
      <w:pPr>
        <w:spacing w:after="0" w:line="240" w:lineRule="auto"/>
      </w:pPr>
      <w:r>
        <w:separator/>
      </w:r>
    </w:p>
  </w:footnote>
  <w:footnote w:type="continuationSeparator" w:id="0">
    <w:p w:rsidR="000425EC" w:rsidRDefault="000425EC" w:rsidP="00FD3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60A" w:rsidRPr="00637502" w:rsidRDefault="00637502">
    <w:pPr>
      <w:pStyle w:val="Header"/>
      <w:jc w:val="right"/>
      <w:rPr>
        <w:rFonts w:ascii="Times New Roman" w:hAnsi="Times New Roman" w:cs="Times New Roman"/>
        <w:sz w:val="24"/>
        <w:szCs w:val="24"/>
      </w:rPr>
    </w:pPr>
    <w:r w:rsidRPr="00637502">
      <w:rPr>
        <w:rFonts w:ascii="Times New Roman" w:hAnsi="Times New Roman" w:cs="Times New Roman"/>
        <w:sz w:val="24"/>
        <w:szCs w:val="24"/>
      </w:rPr>
      <w:t>INTEGRATION AND METRICS</w:t>
    </w:r>
    <w:r w:rsidR="00FD360A" w:rsidRPr="00637502">
      <w:rPr>
        <w:rFonts w:ascii="Times New Roman" w:hAnsi="Times New Roman" w:cs="Times New Roman"/>
        <w:sz w:val="24"/>
        <w:szCs w:val="24"/>
      </w:rPr>
      <w:tab/>
    </w:r>
    <w:r w:rsidR="00FD360A" w:rsidRPr="00637502">
      <w:rPr>
        <w:rFonts w:ascii="Times New Roman" w:hAnsi="Times New Roman" w:cs="Times New Roman"/>
        <w:sz w:val="24"/>
        <w:szCs w:val="24"/>
      </w:rPr>
      <w:tab/>
    </w:r>
    <w:sdt>
      <w:sdtPr>
        <w:rPr>
          <w:rFonts w:ascii="Times New Roman" w:hAnsi="Times New Roman" w:cs="Times New Roman"/>
          <w:sz w:val="24"/>
          <w:szCs w:val="24"/>
        </w:rPr>
        <w:id w:val="14163035"/>
        <w:docPartObj>
          <w:docPartGallery w:val="Page Numbers (Top of Page)"/>
          <w:docPartUnique/>
        </w:docPartObj>
      </w:sdtPr>
      <w:sdtEndPr/>
      <w:sdtContent>
        <w:r w:rsidR="000425EC" w:rsidRPr="00637502">
          <w:rPr>
            <w:rFonts w:ascii="Times New Roman" w:hAnsi="Times New Roman" w:cs="Times New Roman"/>
            <w:sz w:val="24"/>
            <w:szCs w:val="24"/>
          </w:rPr>
          <w:fldChar w:fldCharType="begin"/>
        </w:r>
        <w:r w:rsidR="000425EC" w:rsidRPr="00637502">
          <w:rPr>
            <w:rFonts w:ascii="Times New Roman" w:hAnsi="Times New Roman" w:cs="Times New Roman"/>
            <w:sz w:val="24"/>
            <w:szCs w:val="24"/>
          </w:rPr>
          <w:instrText xml:space="preserve"> PAGE   \* MERGEFORMAT </w:instrText>
        </w:r>
        <w:r w:rsidR="000425EC" w:rsidRPr="00637502">
          <w:rPr>
            <w:rFonts w:ascii="Times New Roman" w:hAnsi="Times New Roman" w:cs="Times New Roman"/>
            <w:sz w:val="24"/>
            <w:szCs w:val="24"/>
          </w:rPr>
          <w:fldChar w:fldCharType="separate"/>
        </w:r>
        <w:r>
          <w:rPr>
            <w:rFonts w:ascii="Times New Roman" w:hAnsi="Times New Roman" w:cs="Times New Roman"/>
            <w:noProof/>
            <w:sz w:val="24"/>
            <w:szCs w:val="24"/>
          </w:rPr>
          <w:t>2</w:t>
        </w:r>
        <w:r w:rsidR="000425EC" w:rsidRPr="00637502">
          <w:rPr>
            <w:rFonts w:ascii="Times New Roman" w:hAnsi="Times New Roman" w:cs="Times New Roman"/>
            <w:noProof/>
            <w:sz w:val="24"/>
            <w:szCs w:val="24"/>
          </w:rPr>
          <w:fldChar w:fldCharType="end"/>
        </w:r>
      </w:sdtContent>
    </w:sdt>
  </w:p>
  <w:p w:rsidR="00FD360A" w:rsidRDefault="00FD36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60A" w:rsidRPr="00637502" w:rsidRDefault="00FD360A">
    <w:pPr>
      <w:pStyle w:val="Header"/>
      <w:jc w:val="right"/>
      <w:rPr>
        <w:rFonts w:ascii="Times New Roman" w:hAnsi="Times New Roman" w:cs="Times New Roman"/>
        <w:sz w:val="24"/>
        <w:szCs w:val="24"/>
      </w:rPr>
    </w:pPr>
    <w:r w:rsidRPr="00637502">
      <w:rPr>
        <w:rFonts w:ascii="Times New Roman" w:hAnsi="Times New Roman" w:cs="Times New Roman"/>
        <w:sz w:val="24"/>
        <w:szCs w:val="24"/>
      </w:rPr>
      <w:t xml:space="preserve">Running head: </w:t>
    </w:r>
    <w:r w:rsidR="00637502" w:rsidRPr="00637502">
      <w:rPr>
        <w:rFonts w:ascii="Times New Roman" w:hAnsi="Times New Roman" w:cs="Times New Roman"/>
        <w:sz w:val="24"/>
        <w:szCs w:val="24"/>
      </w:rPr>
      <w:t>INTEGRATION AND METRICS</w:t>
    </w:r>
    <w:r w:rsidRPr="00637502">
      <w:rPr>
        <w:rFonts w:ascii="Times New Roman" w:hAnsi="Times New Roman" w:cs="Times New Roman"/>
        <w:sz w:val="24"/>
        <w:szCs w:val="24"/>
      </w:rPr>
      <w:tab/>
    </w:r>
    <w:r w:rsidRPr="00637502">
      <w:rPr>
        <w:rFonts w:ascii="Times New Roman" w:hAnsi="Times New Roman" w:cs="Times New Roman"/>
        <w:sz w:val="24"/>
        <w:szCs w:val="24"/>
      </w:rPr>
      <w:tab/>
    </w:r>
    <w:sdt>
      <w:sdtPr>
        <w:rPr>
          <w:rFonts w:ascii="Times New Roman" w:hAnsi="Times New Roman" w:cs="Times New Roman"/>
          <w:sz w:val="24"/>
          <w:szCs w:val="24"/>
        </w:rPr>
        <w:id w:val="14163063"/>
        <w:docPartObj>
          <w:docPartGallery w:val="Page Numbers (Top of Page)"/>
          <w:docPartUnique/>
        </w:docPartObj>
      </w:sdtPr>
      <w:sdtEndPr/>
      <w:sdtContent>
        <w:r w:rsidR="000425EC" w:rsidRPr="00637502">
          <w:rPr>
            <w:rFonts w:ascii="Times New Roman" w:hAnsi="Times New Roman" w:cs="Times New Roman"/>
            <w:sz w:val="24"/>
            <w:szCs w:val="24"/>
          </w:rPr>
          <w:fldChar w:fldCharType="begin"/>
        </w:r>
        <w:r w:rsidR="000425EC" w:rsidRPr="00637502">
          <w:rPr>
            <w:rFonts w:ascii="Times New Roman" w:hAnsi="Times New Roman" w:cs="Times New Roman"/>
            <w:sz w:val="24"/>
            <w:szCs w:val="24"/>
          </w:rPr>
          <w:instrText xml:space="preserve"> PAGE   \* MERGEFORMAT </w:instrText>
        </w:r>
        <w:r w:rsidR="000425EC" w:rsidRPr="00637502">
          <w:rPr>
            <w:rFonts w:ascii="Times New Roman" w:hAnsi="Times New Roman" w:cs="Times New Roman"/>
            <w:sz w:val="24"/>
            <w:szCs w:val="24"/>
          </w:rPr>
          <w:fldChar w:fldCharType="separate"/>
        </w:r>
        <w:r w:rsidR="00637502">
          <w:rPr>
            <w:rFonts w:ascii="Times New Roman" w:hAnsi="Times New Roman" w:cs="Times New Roman"/>
            <w:noProof/>
            <w:sz w:val="24"/>
            <w:szCs w:val="24"/>
          </w:rPr>
          <w:t>1</w:t>
        </w:r>
        <w:r w:rsidR="000425EC" w:rsidRPr="00637502">
          <w:rPr>
            <w:rFonts w:ascii="Times New Roman" w:hAnsi="Times New Roman" w:cs="Times New Roman"/>
            <w:noProof/>
            <w:sz w:val="24"/>
            <w:szCs w:val="24"/>
          </w:rPr>
          <w:fldChar w:fldCharType="end"/>
        </w:r>
      </w:sdtContent>
    </w:sdt>
  </w:p>
  <w:p w:rsidR="00FD360A" w:rsidRDefault="00FD360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 style="width:3in;height:3in" o:bullet="t"/>
    </w:pict>
  </w:numPicBullet>
  <w:abstractNum w:abstractNumId="0" w15:restartNumberingAfterBreak="0">
    <w:nsid w:val="0E51642F"/>
    <w:multiLevelType w:val="multilevel"/>
    <w:tmpl w:val="A450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560AB0"/>
    <w:multiLevelType w:val="hybridMultilevel"/>
    <w:tmpl w:val="8854A076"/>
    <w:lvl w:ilvl="0" w:tplc="7C3EC940">
      <w:start w:val="1"/>
      <w:numFmt w:val="bullet"/>
      <w:lvlText w:val=""/>
      <w:lvlPicBulletId w:val="0"/>
      <w:lvlJc w:val="left"/>
      <w:pPr>
        <w:tabs>
          <w:tab w:val="num" w:pos="720"/>
        </w:tabs>
        <w:ind w:left="720" w:hanging="360"/>
      </w:pPr>
      <w:rPr>
        <w:rFonts w:ascii="Symbol" w:hAnsi="Symbol" w:hint="default"/>
      </w:rPr>
    </w:lvl>
    <w:lvl w:ilvl="1" w:tplc="4D5E61C6" w:tentative="1">
      <w:start w:val="1"/>
      <w:numFmt w:val="bullet"/>
      <w:lvlText w:val=""/>
      <w:lvlJc w:val="left"/>
      <w:pPr>
        <w:tabs>
          <w:tab w:val="num" w:pos="1440"/>
        </w:tabs>
        <w:ind w:left="1440" w:hanging="360"/>
      </w:pPr>
      <w:rPr>
        <w:rFonts w:ascii="Symbol" w:hAnsi="Symbol" w:hint="default"/>
      </w:rPr>
    </w:lvl>
    <w:lvl w:ilvl="2" w:tplc="8498287E" w:tentative="1">
      <w:start w:val="1"/>
      <w:numFmt w:val="bullet"/>
      <w:lvlText w:val=""/>
      <w:lvlJc w:val="left"/>
      <w:pPr>
        <w:tabs>
          <w:tab w:val="num" w:pos="2160"/>
        </w:tabs>
        <w:ind w:left="2160" w:hanging="360"/>
      </w:pPr>
      <w:rPr>
        <w:rFonts w:ascii="Symbol" w:hAnsi="Symbol" w:hint="default"/>
      </w:rPr>
    </w:lvl>
    <w:lvl w:ilvl="3" w:tplc="F1003AB2" w:tentative="1">
      <w:start w:val="1"/>
      <w:numFmt w:val="bullet"/>
      <w:lvlText w:val=""/>
      <w:lvlJc w:val="left"/>
      <w:pPr>
        <w:tabs>
          <w:tab w:val="num" w:pos="2880"/>
        </w:tabs>
        <w:ind w:left="2880" w:hanging="360"/>
      </w:pPr>
      <w:rPr>
        <w:rFonts w:ascii="Symbol" w:hAnsi="Symbol" w:hint="default"/>
      </w:rPr>
    </w:lvl>
    <w:lvl w:ilvl="4" w:tplc="1FE4D278" w:tentative="1">
      <w:start w:val="1"/>
      <w:numFmt w:val="bullet"/>
      <w:lvlText w:val=""/>
      <w:lvlJc w:val="left"/>
      <w:pPr>
        <w:tabs>
          <w:tab w:val="num" w:pos="3600"/>
        </w:tabs>
        <w:ind w:left="3600" w:hanging="360"/>
      </w:pPr>
      <w:rPr>
        <w:rFonts w:ascii="Symbol" w:hAnsi="Symbol" w:hint="default"/>
      </w:rPr>
    </w:lvl>
    <w:lvl w:ilvl="5" w:tplc="CDE8F0C0" w:tentative="1">
      <w:start w:val="1"/>
      <w:numFmt w:val="bullet"/>
      <w:lvlText w:val=""/>
      <w:lvlJc w:val="left"/>
      <w:pPr>
        <w:tabs>
          <w:tab w:val="num" w:pos="4320"/>
        </w:tabs>
        <w:ind w:left="4320" w:hanging="360"/>
      </w:pPr>
      <w:rPr>
        <w:rFonts w:ascii="Symbol" w:hAnsi="Symbol" w:hint="default"/>
      </w:rPr>
    </w:lvl>
    <w:lvl w:ilvl="6" w:tplc="BD2277C8" w:tentative="1">
      <w:start w:val="1"/>
      <w:numFmt w:val="bullet"/>
      <w:lvlText w:val=""/>
      <w:lvlJc w:val="left"/>
      <w:pPr>
        <w:tabs>
          <w:tab w:val="num" w:pos="5040"/>
        </w:tabs>
        <w:ind w:left="5040" w:hanging="360"/>
      </w:pPr>
      <w:rPr>
        <w:rFonts w:ascii="Symbol" w:hAnsi="Symbol" w:hint="default"/>
      </w:rPr>
    </w:lvl>
    <w:lvl w:ilvl="7" w:tplc="991EB170" w:tentative="1">
      <w:start w:val="1"/>
      <w:numFmt w:val="bullet"/>
      <w:lvlText w:val=""/>
      <w:lvlJc w:val="left"/>
      <w:pPr>
        <w:tabs>
          <w:tab w:val="num" w:pos="5760"/>
        </w:tabs>
        <w:ind w:left="5760" w:hanging="360"/>
      </w:pPr>
      <w:rPr>
        <w:rFonts w:ascii="Symbol" w:hAnsi="Symbol" w:hint="default"/>
      </w:rPr>
    </w:lvl>
    <w:lvl w:ilvl="8" w:tplc="92EE1766"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CD"/>
    <w:rsid w:val="000255CD"/>
    <w:rsid w:val="000425EC"/>
    <w:rsid w:val="001223B7"/>
    <w:rsid w:val="0018743F"/>
    <w:rsid w:val="002E4050"/>
    <w:rsid w:val="002F02C7"/>
    <w:rsid w:val="003453CF"/>
    <w:rsid w:val="00466E4F"/>
    <w:rsid w:val="004A094D"/>
    <w:rsid w:val="005F5782"/>
    <w:rsid w:val="00637502"/>
    <w:rsid w:val="00682722"/>
    <w:rsid w:val="00693430"/>
    <w:rsid w:val="00891817"/>
    <w:rsid w:val="008B655D"/>
    <w:rsid w:val="0095124F"/>
    <w:rsid w:val="009F5A60"/>
    <w:rsid w:val="00A56AEB"/>
    <w:rsid w:val="00AC3C06"/>
    <w:rsid w:val="00AC5DB6"/>
    <w:rsid w:val="00B25B1E"/>
    <w:rsid w:val="00B307FE"/>
    <w:rsid w:val="00B776BD"/>
    <w:rsid w:val="00CB2488"/>
    <w:rsid w:val="00D2796E"/>
    <w:rsid w:val="00E12351"/>
    <w:rsid w:val="00E36735"/>
    <w:rsid w:val="00FD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AF3BD"/>
  <w15:docId w15:val="{8F53A364-210B-4199-B555-E80E34DB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E4F"/>
  </w:style>
  <w:style w:type="paragraph" w:styleId="Heading1">
    <w:name w:val="heading 1"/>
    <w:basedOn w:val="Normal"/>
    <w:next w:val="Normal"/>
    <w:link w:val="Heading1Char"/>
    <w:uiPriority w:val="9"/>
    <w:qFormat/>
    <w:rsid w:val="00FD36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34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430"/>
    <w:rPr>
      <w:rFonts w:ascii="Tahoma" w:hAnsi="Tahoma" w:cs="Tahoma"/>
      <w:sz w:val="16"/>
      <w:szCs w:val="16"/>
    </w:rPr>
  </w:style>
  <w:style w:type="paragraph" w:styleId="NormalWeb">
    <w:name w:val="Normal (Web)"/>
    <w:basedOn w:val="Normal"/>
    <w:uiPriority w:val="99"/>
    <w:semiHidden/>
    <w:unhideWhenUsed/>
    <w:rsid w:val="00CB24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2488"/>
    <w:rPr>
      <w:color w:val="0000FF"/>
      <w:u w:val="single"/>
    </w:rPr>
  </w:style>
  <w:style w:type="paragraph" w:styleId="ListParagraph">
    <w:name w:val="List Paragraph"/>
    <w:basedOn w:val="Normal"/>
    <w:uiPriority w:val="34"/>
    <w:qFormat/>
    <w:rsid w:val="009F5A60"/>
    <w:pPr>
      <w:ind w:left="720"/>
      <w:contextualSpacing/>
    </w:pPr>
  </w:style>
  <w:style w:type="character" w:customStyle="1" w:styleId="Heading1Char">
    <w:name w:val="Heading 1 Char"/>
    <w:basedOn w:val="DefaultParagraphFont"/>
    <w:link w:val="Heading1"/>
    <w:uiPriority w:val="9"/>
    <w:rsid w:val="00FD360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D3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60A"/>
  </w:style>
  <w:style w:type="paragraph" w:styleId="Footer">
    <w:name w:val="footer"/>
    <w:basedOn w:val="Normal"/>
    <w:link w:val="FooterChar"/>
    <w:uiPriority w:val="99"/>
    <w:unhideWhenUsed/>
    <w:rsid w:val="00FD3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659992">
      <w:bodyDiv w:val="1"/>
      <w:marLeft w:val="0"/>
      <w:marRight w:val="0"/>
      <w:marTop w:val="0"/>
      <w:marBottom w:val="0"/>
      <w:divBdr>
        <w:top w:val="none" w:sz="0" w:space="0" w:color="auto"/>
        <w:left w:val="none" w:sz="0" w:space="0" w:color="auto"/>
        <w:bottom w:val="none" w:sz="0" w:space="0" w:color="auto"/>
        <w:right w:val="none" w:sz="0" w:space="0" w:color="auto"/>
      </w:divBdr>
    </w:div>
    <w:div w:id="731775725">
      <w:marLeft w:val="0"/>
      <w:marRight w:val="0"/>
      <w:marTop w:val="0"/>
      <w:marBottom w:val="0"/>
      <w:divBdr>
        <w:top w:val="none" w:sz="0" w:space="0" w:color="auto"/>
        <w:left w:val="none" w:sz="0" w:space="0" w:color="auto"/>
        <w:bottom w:val="none" w:sz="0" w:space="0" w:color="auto"/>
        <w:right w:val="none" w:sz="0" w:space="0" w:color="auto"/>
      </w:divBdr>
    </w:div>
    <w:div w:id="1007557653">
      <w:marLeft w:val="0"/>
      <w:marRight w:val="0"/>
      <w:marTop w:val="0"/>
      <w:marBottom w:val="0"/>
      <w:divBdr>
        <w:top w:val="none" w:sz="0" w:space="0" w:color="auto"/>
        <w:left w:val="none" w:sz="0" w:space="0" w:color="auto"/>
        <w:bottom w:val="none" w:sz="0" w:space="0" w:color="auto"/>
        <w:right w:val="none" w:sz="0" w:space="0" w:color="auto"/>
      </w:divBdr>
    </w:div>
    <w:div w:id="12004321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inkedin.com/pulse/performance-metrics-series-5-operational-excellence-suchitra-mishr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2019-04-27T19:18:00Z</dcterms:created>
  <dcterms:modified xsi:type="dcterms:W3CDTF">2019-04-27T19:18:00Z</dcterms:modified>
</cp:coreProperties>
</file>